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Аналитический отчёт: MAX — лидогенерация для МФО (факты и выводы)</w:t>
      </w:r>
    </w:p>
    <w:p>
      <w:pPr>
        <w:pStyle w:val="Heading1"/>
      </w:pPr>
      <w:r>
        <w:rPr>
          <w:b w:val="false"/>
          <w:bCs w:val="false"/>
          <w:i w:val="false"/>
          <w:iCs w:val="false"/>
          <w:strike w:val="false"/>
        </w:rPr>
        <w:t xml:space="preserve">Аналитический отчёт — MAX (факты и нейтральные выводы)</w:t>
      </w:r>
    </w:p>
    <w:p>
      <w:pPr>
        <w:pStyle w:val="Heading2"/>
      </w:pPr>
      <w:r>
        <w:rPr>
          <w:b w:val="false"/>
          <w:bCs w:val="false"/>
          <w:i w:val="false"/>
          <w:iCs w:val="false"/>
          <w:strike w:val="false"/>
        </w:rPr>
        <w:t xml:space="preserve">Краткое содержание (нейтрально)</w:t>
      </w:r>
    </w:p>
    <w:p>
      <w:pPr>
        <w:pStyle w:val="ListParagraph"/>
        <w:numPr>
          <w:ilvl w:val="0"/>
          <w:numId w:val="1"/>
        </w:numPr>
      </w:pPr>
      <w:r>
        <w:rPr>
          <w:b w:val="false"/>
          <w:bCs w:val="false"/>
          <w:i w:val="false"/>
          <w:iCs w:val="false"/>
          <w:strike w:val="false"/>
        </w:rPr>
        <w:t xml:space="preserve">Есть публичное API у мессенджера MAX (</w:t>
      </w:r>
      <w:r>
        <w:rPr>
          <w:b w:val="false"/>
          <w:bCs w:val="false"/>
          <w:i w:val="false"/>
          <w:iCs w:val="false"/>
          <w:strike w:val="false"/>
        </w:rPr>
        <w:t xml:space="preserve">dev.max.ru/docs-api</w:t>
      </w:r>
      <w:r>
        <w:rPr>
          <w:b w:val="false"/>
          <w:bCs w:val="false"/>
          <w:i w:val="false"/>
          <w:iCs w:val="false"/>
          <w:strike w:val="false"/>
        </w:rPr>
        <w:t xml:space="preserve">). Поддерживаются Webhook и long polling; отправка/приём сообщений и загрузка медиа реализованы.</w:t>
      </w:r>
    </w:p>
    <w:p>
      <w:pPr>
        <w:pStyle w:val="ListParagraph"/>
        <w:numPr>
          <w:ilvl w:val="0"/>
          <w:numId w:val="1"/>
        </w:numPr>
      </w:pPr>
      <w:r>
        <w:rPr>
          <w:b w:val="false"/>
          <w:bCs w:val="false"/>
          <w:i w:val="false"/>
          <w:iCs w:val="false"/>
          <w:strike w:val="false"/>
        </w:rPr>
        <w:t xml:space="preserve">Поисковой спрос на тему «микрозаймы/займ на карту/займы онлайн» остаётся высоким (Wordstat — см. таблицу). Это подтверждает существование большого транзакционного спроса.</w:t>
      </w:r>
    </w:p>
    <w:p>
      <w:pPr>
        <w:pStyle w:val="ListParagraph"/>
        <w:numPr>
          <w:ilvl w:val="0"/>
          <w:numId w:val="1"/>
        </w:numPr>
      </w:pPr>
      <w:r>
        <w:rPr>
          <w:b w:val="false"/>
          <w:bCs w:val="false"/>
          <w:i w:val="false"/>
          <w:iCs w:val="false"/>
          <w:strike w:val="false"/>
        </w:rPr>
        <w:t xml:space="preserve">На рынке доступны многочисленные партнёрские программы МФО (</w:t>
      </w:r>
      <w:r>
        <w:rPr>
          <w:b w:val="false"/>
          <w:bCs w:val="false"/>
          <w:i w:val="false"/>
          <w:iCs w:val="false"/>
          <w:strike w:val="false"/>
        </w:rPr>
        <w:t xml:space="preserve">LEADS.SU</w:t>
      </w:r>
      <w:r>
        <w:rPr>
          <w:b w:val="false"/>
          <w:bCs w:val="false"/>
          <w:i w:val="false"/>
          <w:iCs w:val="false"/>
          <w:strike w:val="false"/>
        </w:rPr>
        <w:t xml:space="preserve">, Admitad, прямые партнёрские разделы MFO). Условия и ставка зависят от оффера и типа валидации.</w:t>
      </w:r>
    </w:p>
    <w:p>
      <w:pPr>
        <w:pStyle w:val="Heading2"/>
      </w:pPr>
      <w:r>
        <w:rPr>
          <w:b w:val="false"/>
          <w:bCs w:val="false"/>
          <w:i w:val="false"/>
          <w:iCs w:val="false"/>
          <w:strike w:val="false"/>
        </w:rPr>
        <w:t xml:space="preserve">Wordstat — ключевые фразы (примерные месячные показы)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p>
            <w:r>
              <w:rPr>
                <w:b/>
                <w:bCs/>
                <w:i w:val="false"/>
                <w:iCs w:val="false"/>
                <w:strike w:val="false"/>
              </w:rPr>
              <w:t xml:space="preserve">Фраза</w:t>
            </w:r>
          </w:p>
        </w:tc>
        <w:tc>
          <w:p>
            <w:r>
              <w:rPr>
                <w:b/>
                <w:bCs/>
                <w:i w:val="false"/>
                <w:iCs w:val="false"/>
                <w:strike w:val="false"/>
              </w:rPr>
              <w:t xml:space="preserve">Примерный месячный показ (Shows)</w:t>
            </w:r>
          </w:p>
        </w:tc>
      </w:tr>
      <w:tr>
        <w:trPr>
          <w:tblHeader w:val="false"/>
        </w:trPr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микрозайм</w:t>
            </w:r>
          </w:p>
        </w:tc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485,830</w:t>
            </w:r>
          </w:p>
        </w:tc>
      </w:tr>
      <w:tr>
        <w:trPr>
          <w:tblHeader w:val="false"/>
        </w:trPr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микрозаймы</w:t>
            </w:r>
          </w:p>
        </w:tc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485,830</w:t>
            </w:r>
          </w:p>
        </w:tc>
      </w:tr>
      <w:tr>
        <w:trPr>
          <w:tblHeader w:val="false"/>
        </w:trPr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микрокредит</w:t>
            </w:r>
          </w:p>
        </w:tc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35,296</w:t>
            </w:r>
          </w:p>
        </w:tc>
      </w:tr>
      <w:tr>
        <w:trPr>
          <w:tblHeader w:val="false"/>
        </w:trPr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займ на карту</w:t>
            </w:r>
          </w:p>
        </w:tc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392,634</w:t>
            </w:r>
          </w:p>
        </w:tc>
      </w:tr>
      <w:tr>
        <w:trPr>
          <w:tblHeader w:val="false"/>
        </w:trPr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займы онлайн</w:t>
            </w:r>
          </w:p>
        </w:tc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361,921</w:t>
            </w:r>
          </w:p>
        </w:tc>
      </w:tr>
      <w:tr>
        <w:trPr>
          <w:tblHeader w:val="false"/>
        </w:trPr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займ без проверки</w:t>
            </w:r>
          </w:p>
        </w:tc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26,865</w:t>
            </w:r>
          </w:p>
        </w:tc>
      </w:tr>
      <w:tr>
        <w:trPr>
          <w:tblHeader w:val="false"/>
        </w:trPr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займ без отказа</w:t>
            </w:r>
          </w:p>
        </w:tc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157,163</w:t>
            </w:r>
          </w:p>
        </w:tc>
      </w:tr>
      <w:tr>
        <w:trPr>
          <w:tblHeader w:val="false"/>
        </w:trPr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быстрый займ</w:t>
            </w:r>
          </w:p>
        </w:tc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27,171</w:t>
            </w:r>
          </w:p>
        </w:tc>
      </w:tr>
      <w:tr>
        <w:trPr>
          <w:tblHeader w:val="false"/>
        </w:trPr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займ на карту онлайн</w:t>
            </w:r>
          </w:p>
        </w:tc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149,490</w:t>
            </w:r>
          </w:p>
        </w:tc>
      </w:tr>
      <w:tr>
        <w:trPr>
          <w:tblHeader w:val="false"/>
        </w:trPr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кредит онлайн</w:t>
            </w:r>
          </w:p>
        </w:tc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280,386</w:t>
            </w:r>
          </w:p>
        </w:tc>
      </w:tr>
    </w:tbl>
    <w:p>
      <w:pPr>
        <w:pStyle w:val="Heading2"/>
      </w:pPr>
      <w:r>
        <w:rPr>
          <w:b w:val="false"/>
          <w:bCs w:val="false"/>
          <w:i w:val="false"/>
          <w:iCs w:val="false"/>
          <w:strike w:val="false"/>
        </w:rPr>
        <w:t xml:space="preserve">Факты по API MAX (из официальной документации)</w:t>
      </w:r>
    </w:p>
    <w:p>
      <w:pPr>
        <w:pStyle w:val="ListParagraph"/>
        <w:numPr>
          <w:ilvl w:val="0"/>
          <w:numId w:val="1"/>
        </w:numPr>
      </w:pPr>
      <w:r>
        <w:rPr>
          <w:b w:val="false"/>
          <w:bCs w:val="false"/>
          <w:i w:val="false"/>
          <w:iCs w:val="false"/>
          <w:strike w:val="false"/>
        </w:rPr>
        <w:t xml:space="preserve">Документация: </w:t>
      </w:r>
      <w:r>
        <w:rPr>
          <w:b w:val="false"/>
          <w:bCs w:val="false"/>
          <w:i w:val="false"/>
          <w:iCs w:val="false"/>
          <w:strike w:val="false"/>
        </w:rPr>
        <w:t xml:space="preserve">https://dev.max.ru/docs-api</w:t>
      </w:r>
    </w:p>
    <w:p>
      <w:pPr>
        <w:pStyle w:val="ListParagraph"/>
        <w:numPr>
          <w:ilvl w:val="0"/>
          <w:numId w:val="1"/>
        </w:numPr>
      </w:pPr>
      <w:r>
        <w:rPr>
          <w:b w:val="false"/>
          <w:bCs w:val="false"/>
          <w:i w:val="false"/>
          <w:iCs w:val="false"/>
          <w:strike w:val="false"/>
        </w:rPr>
        <w:t xml:space="preserve">Базовый домен API: </w:t>
      </w:r>
      <w:r>
        <w:rPr>
          <w:b w:val="false"/>
          <w:bCs w:val="false"/>
          <w:i w:val="false"/>
          <w:iCs w:val="false"/>
          <w:strike w:val="false"/>
        </w:rPr>
        <w:t xml:space="preserve">platform-api2.max.ru</w:t>
      </w:r>
    </w:p>
    <w:p>
      <w:pPr>
        <w:pStyle w:val="ListParagraph"/>
        <w:numPr>
          <w:ilvl w:val="0"/>
          <w:numId w:val="1"/>
        </w:numPr>
      </w:pPr>
      <w:r>
        <w:rPr>
          <w:b w:val="false"/>
          <w:bCs w:val="false"/>
          <w:i w:val="false"/>
          <w:iCs w:val="false"/>
          <w:strike w:val="false"/>
        </w:rPr>
        <w:t xml:space="preserve">Аутентификация: токен в заголовке Authorization</w:t>
      </w:r>
    </w:p>
    <w:p>
      <w:pPr>
        <w:pStyle w:val="ListParagraph"/>
        <w:numPr>
          <w:ilvl w:val="0"/>
          <w:numId w:val="1"/>
        </w:numPr>
      </w:pPr>
      <w:r>
        <w:rPr>
          <w:b w:val="false"/>
          <w:bCs w:val="false"/>
          <w:i w:val="false"/>
          <w:iCs w:val="false"/>
          <w:strike w:val="false"/>
        </w:rPr>
        <w:t xml:space="preserve">Поддержка Webhook (POST /subscriptions) и Long Polling (GET /updates)</w:t>
      </w:r>
    </w:p>
    <w:p>
      <w:pPr>
        <w:pStyle w:val="ListParagraph"/>
        <w:numPr>
          <w:ilvl w:val="0"/>
          <w:numId w:val="1"/>
        </w:numPr>
      </w:pPr>
      <w:r>
        <w:rPr>
          <w:b w:val="false"/>
          <w:bCs w:val="false"/>
          <w:i w:val="false"/>
          <w:iCs w:val="false"/>
          <w:strike w:val="false"/>
        </w:rPr>
        <w:t xml:space="preserve">Основные методы: messages, uploads, chats, bots, subscriptions</w:t>
      </w:r>
    </w:p>
    <w:p>
      <w:pPr>
        <w:pStyle w:val="ListParagraph"/>
        <w:numPr>
          <w:ilvl w:val="0"/>
          <w:numId w:val="1"/>
        </w:numPr>
      </w:pPr>
      <w:r>
        <w:rPr>
          <w:b w:val="false"/>
          <w:bCs w:val="false"/>
          <w:i w:val="false"/>
          <w:iCs w:val="false"/>
          <w:strike w:val="false"/>
        </w:rPr>
        <w:t xml:space="preserve">Примечание: некоторые эндпоинты были изменены (например, GET /chats заменён на POST /subscriptions для ботов).</w:t>
      </w:r>
    </w:p>
    <w:p>
      <w:pPr>
        <w:pStyle w:val="Heading2"/>
      </w:pPr>
      <w:r>
        <w:rPr>
          <w:b w:val="false"/>
          <w:bCs w:val="false"/>
          <w:i w:val="false"/>
          <w:iCs w:val="false"/>
          <w:strike w:val="false"/>
        </w:rPr>
        <w:t xml:space="preserve">Обзор партнёрских программ МФО (официальные страницы / офферы в сетях)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p>
            <w:r>
              <w:rPr>
                <w:b/>
                <w:bCs/>
                <w:i w:val="false"/>
                <w:iCs w:val="false"/>
                <w:strike w:val="false"/>
              </w:rPr>
              <w:t xml:space="preserve">МФО / программа</w:t>
            </w:r>
          </w:p>
        </w:tc>
        <w:tc>
          <w:p>
            <w:r>
              <w:rPr>
                <w:b/>
                <w:bCs/>
                <w:i w:val="false"/>
                <w:iCs w:val="false"/>
                <w:strike w:val="false"/>
              </w:rPr>
              <w:t xml:space="preserve">Примерная ссылка (партнёрский оффер)</w:t>
            </w:r>
          </w:p>
        </w:tc>
      </w:tr>
      <w:tr>
        <w:trPr>
          <w:tblHeader w:val="false"/>
        </w:trPr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MoneyMan</w:t>
            </w:r>
          </w:p>
        </w:tc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https://leads.su/offers/10535</w:t>
            </w:r>
          </w:p>
        </w:tc>
      </w:tr>
      <w:tr>
        <w:trPr>
          <w:tblHeader w:val="false"/>
        </w:trPr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Vivus</w:t>
            </w:r>
          </w:p>
        </w:tc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https://leads.su/offers/140</w:t>
            </w:r>
          </w:p>
        </w:tc>
      </w:tr>
      <w:tr>
        <w:trPr>
          <w:tblHeader w:val="false"/>
        </w:trPr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MigCredit (МигКредит)</w:t>
            </w:r>
          </w:p>
        </w:tc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https://partners.migcredit.ru/</w:t>
            </w:r>
          </w:p>
        </w:tc>
      </w:tr>
      <w:tr>
        <w:trPr>
          <w:tblHeader w:val="false"/>
        </w:trPr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Webbankir</w:t>
            </w:r>
          </w:p>
        </w:tc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https://leads.su/offers/522</w:t>
            </w:r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 / </w:t>
            </w:r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https://wbbankir.ru/partners</w:t>
            </w:r>
          </w:p>
        </w:tc>
      </w:tr>
      <w:tr>
        <w:trPr>
          <w:tblHeader w:val="false"/>
        </w:trPr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CreditPlus</w:t>
            </w:r>
          </w:p>
        </w:tc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https://leads.su/offers/750</w:t>
            </w:r>
          </w:p>
        </w:tc>
      </w:tr>
      <w:tr>
        <w:trPr>
          <w:tblHeader w:val="false"/>
        </w:trPr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E‑Zаem (Ezaem)</w:t>
            </w:r>
          </w:p>
        </w:tc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https://www.ezaem.ru/partnership-landing/</w:t>
            </w:r>
          </w:p>
        </w:tc>
      </w:tr>
      <w:tr>
        <w:trPr>
          <w:tblHeader w:val="false"/>
        </w:trPr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Zaymer</w:t>
            </w:r>
          </w:p>
        </w:tc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https://www.zaimerpp.ru/</w:t>
            </w:r>
          </w:p>
        </w:tc>
      </w:tr>
      <w:tr>
        <w:trPr>
          <w:tblHeader w:val="false"/>
        </w:trPr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Агрегаторы / CPA‑сети</w:t>
            </w:r>
          </w:p>
        </w:tc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LEADS.SU</w:t>
            </w:r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, Admitad, Affilead, Saleads, Partnerkin</w:t>
            </w:r>
          </w:p>
        </w:tc>
      </w:tr>
    </w:tbl>
    <w:p>
      <w:pPr>
        <w:pStyle w:val="Heading2"/>
      </w:pPr>
      <w:r>
        <w:rPr>
          <w:b w:val="false"/>
          <w:bCs w:val="false"/>
          <w:i w:val="false"/>
          <w:iCs w:val="false"/>
          <w:strike w:val="false"/>
        </w:rPr>
        <w:t xml:space="preserve">Финансовые сценарии — сравнение (ориентировочно)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p>
            <w:r>
              <w:rPr>
                <w:b/>
                <w:bCs/>
                <w:i w:val="false"/>
                <w:iCs w:val="false"/>
                <w:strike w:val="false"/>
              </w:rPr>
              <w:t xml:space="preserve">Показатель</w:t>
            </w:r>
          </w:p>
        </w:tc>
        <w:tc>
          <w:p>
            <w:r>
              <w:rPr>
                <w:b/>
                <w:bCs/>
                <w:i w:val="false"/>
                <w:iCs w:val="false"/>
                <w:strike w:val="false"/>
              </w:rPr>
              <w:t xml:space="preserve">Консервативный</w:t>
            </w:r>
          </w:p>
        </w:tc>
        <w:tc>
          <w:p>
            <w:r>
              <w:rPr>
                <w:b/>
                <w:bCs/>
                <w:i w:val="false"/>
                <w:iCs w:val="false"/>
                <w:strike w:val="false"/>
              </w:rPr>
              <w:t xml:space="preserve">Базовый</w:t>
            </w:r>
          </w:p>
        </w:tc>
        <w:tc>
          <w:p>
            <w:r>
              <w:rPr>
                <w:b/>
                <w:bCs/>
                <w:i w:val="false"/>
                <w:iCs w:val="false"/>
                <w:strike w:val="false"/>
              </w:rPr>
              <w:t xml:space="preserve">Агрессивный</w:t>
            </w:r>
          </w:p>
        </w:tc>
      </w:tr>
      <w:tr>
        <w:trPr>
          <w:tblHeader w:val="false"/>
        </w:trPr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Клики/мес</w:t>
            </w:r>
          </w:p>
        </w:tc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5,000</w:t>
            </w:r>
          </w:p>
        </w:tc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20,000</w:t>
            </w:r>
          </w:p>
        </w:tc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60,000</w:t>
            </w:r>
          </w:p>
        </w:tc>
      </w:tr>
      <w:tr>
        <w:trPr>
          <w:tblHeader w:val="false"/>
        </w:trPr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CPC (средний)</w:t>
            </w:r>
          </w:p>
        </w:tc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120 ₽</w:t>
            </w:r>
          </w:p>
        </w:tc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70 ₽</w:t>
            </w:r>
          </w:p>
        </w:tc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45 ₽</w:t>
            </w:r>
          </w:p>
        </w:tc>
      </w:tr>
      <w:tr>
        <w:trPr>
          <w:tblHeader w:val="false"/>
        </w:trPr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Расходы на рекламу</w:t>
            </w:r>
          </w:p>
        </w:tc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600,000 ₽</w:t>
            </w:r>
          </w:p>
        </w:tc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1,400,000 ₽</w:t>
            </w:r>
          </w:p>
        </w:tc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2,700,000 ₽</w:t>
            </w:r>
          </w:p>
        </w:tc>
      </w:tr>
      <w:tr>
        <w:trPr>
          <w:tblHeader w:val="false"/>
        </w:trPr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Conversion click→lead</w:t>
            </w:r>
          </w:p>
        </w:tc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3%</w:t>
            </w:r>
          </w:p>
        </w:tc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7%</w:t>
            </w:r>
          </w:p>
        </w:tc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12%</w:t>
            </w:r>
          </w:p>
        </w:tc>
      </w:tr>
      <w:tr>
        <w:trPr>
          <w:tblHeader w:val="false"/>
        </w:trPr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Leads</w:t>
            </w:r>
          </w:p>
        </w:tc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150</w:t>
            </w:r>
          </w:p>
        </w:tc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1,400</w:t>
            </w:r>
          </w:p>
        </w:tc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7,200</w:t>
            </w:r>
          </w:p>
        </w:tc>
      </w:tr>
      <w:tr>
        <w:trPr>
          <w:tblHeader w:val="false"/>
        </w:trPr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Conversion lead→approval</w:t>
            </w:r>
          </w:p>
        </w:tc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15%</w:t>
            </w:r>
          </w:p>
        </w:tc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25%</w:t>
            </w:r>
          </w:p>
        </w:tc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35%</w:t>
            </w:r>
          </w:p>
        </w:tc>
      </w:tr>
      <w:tr>
        <w:trPr>
          <w:tblHeader w:val="false"/>
        </w:trPr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Approvals</w:t>
            </w:r>
          </w:p>
        </w:tc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22</w:t>
            </w:r>
          </w:p>
        </w:tc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350</w:t>
            </w:r>
          </w:p>
        </w:tc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2,520</w:t>
            </w:r>
          </w:p>
        </w:tc>
      </w:tr>
      <w:tr>
        <w:trPr>
          <w:tblHeader w:val="false"/>
        </w:trPr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Payout/approval (средний)</w:t>
            </w:r>
          </w:p>
        </w:tc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800 ₽</w:t>
            </w:r>
          </w:p>
        </w:tc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1,200 ₽</w:t>
            </w:r>
          </w:p>
        </w:tc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2,000 ₽</w:t>
            </w:r>
          </w:p>
        </w:tc>
      </w:tr>
      <w:tr>
        <w:trPr>
          <w:tblHeader w:val="false"/>
        </w:trPr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Доход партнёрский</w:t>
            </w:r>
          </w:p>
        </w:tc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17,600 ₽</w:t>
            </w:r>
          </w:p>
        </w:tc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420,000 ₽</w:t>
            </w:r>
          </w:p>
        </w:tc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5,040,000 ₽</w:t>
            </w:r>
          </w:p>
        </w:tc>
      </w:tr>
      <w:tr>
        <w:trPr>
          <w:tblHeader w:val="false"/>
        </w:trPr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Ops (host/anti‑fraud)</w:t>
            </w:r>
          </w:p>
        </w:tc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50,000 ₽</w:t>
            </w:r>
          </w:p>
        </w:tc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80,000 ₽</w:t>
            </w:r>
          </w:p>
        </w:tc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150,000 ₽</w:t>
            </w:r>
          </w:p>
        </w:tc>
      </w:tr>
      <w:tr>
        <w:trPr>
          <w:tblHeader w:val="false"/>
        </w:trPr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Чистая прибыль (приближение)</w:t>
            </w:r>
          </w:p>
        </w:tc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−632,400 ₽</w:t>
            </w:r>
          </w:p>
        </w:tc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−1,060,000 ₽</w:t>
            </w:r>
          </w:p>
        </w:tc>
        <w:tc>
          <w:p>
            <w:r>
              <w:rPr>
                <w:b w:val="false"/>
                <w:bCs w:val="false"/>
                <w:i w:val="false"/>
                <w:iCs w:val="false"/>
                <w:strike w:val="false"/>
              </w:rPr>
              <w:t xml:space="preserve">+2,190,000 ₽</w:t>
            </w:r>
          </w:p>
        </w:tc>
      </w:tr>
    </w:tbl>
    <w:p>
      <w:r>
        <w:rPr>
          <w:b w:val="false"/>
          <w:bCs w:val="false"/>
          <w:i w:val="false"/>
          <w:iCs w:val="false"/>
          <w:strike w:val="false"/>
        </w:rPr>
        <w:t xml:space="preserve">(Таблица — моделирование с ориентировочными параметрами. Реальные значения зависят от конкретных офферов, региона, качества трафика и валидации MFO.)</w:t>
      </w:r>
    </w:p>
    <w:p>
      <w:pPr>
        <w:pStyle w:val="Heading2"/>
      </w:pPr>
      <w:r>
        <w:rPr>
          <w:b w:val="false"/>
          <w:bCs w:val="false"/>
          <w:i w:val="false"/>
          <w:iCs w:val="false"/>
          <w:strike w:val="false"/>
        </w:rPr>
        <w:t xml:space="preserve">Нейтральные выводы</w:t>
      </w:r>
    </w:p>
    <w:p>
      <w:pPr>
        <w:pStyle w:val="ListParagraph"/>
        <w:numPr>
          <w:ilvl w:val="0"/>
          <w:numId w:val="1"/>
        </w:numPr>
      </w:pPr>
      <w:r>
        <w:rPr>
          <w:b w:val="false"/>
          <w:bCs w:val="false"/>
          <w:i w:val="false"/>
          <w:iCs w:val="false"/>
          <w:strike w:val="false"/>
        </w:rPr>
        <w:t xml:space="preserve">Спрос целевой: высокая частота транзакционных запросов (займы на карту/онлайн). Это подтверждает коммерческий потенциал канала лидогенерации.</w:t>
      </w:r>
    </w:p>
    <w:p>
      <w:pPr>
        <w:pStyle w:val="ListParagraph"/>
        <w:numPr>
          <w:ilvl w:val="0"/>
          <w:numId w:val="1"/>
        </w:numPr>
      </w:pPr>
      <w:r>
        <w:rPr>
          <w:b w:val="false"/>
          <w:bCs w:val="false"/>
          <w:i w:val="false"/>
          <w:iCs w:val="false"/>
          <w:strike w:val="false"/>
        </w:rPr>
        <w:t xml:space="preserve">Технически интеграция через MAX‑бота реализуема — есть API и механики для Webhook/long polling.</w:t>
      </w:r>
    </w:p>
    <w:p>
      <w:pPr>
        <w:pStyle w:val="ListParagraph"/>
        <w:numPr>
          <w:ilvl w:val="0"/>
          <w:numId w:val="1"/>
        </w:numPr>
      </w:pPr>
      <w:r>
        <w:rPr>
          <w:b w:val="false"/>
          <w:bCs w:val="false"/>
          <w:i w:val="false"/>
          <w:iCs w:val="false"/>
          <w:strike w:val="false"/>
        </w:rPr>
        <w:t xml:space="preserve">Экономика проекта чувствительна к двум факторам: стоимостью привлечения (CPC или органика) и средней выплатой партнёров (payout за одобренную заявку/выдачу).</w:t>
      </w:r>
    </w:p>
    <w:p>
      <w:pPr>
        <w:pStyle w:val="ListParagraph"/>
        <w:numPr>
          <w:ilvl w:val="0"/>
          <w:numId w:val="1"/>
        </w:numPr>
      </w:pPr>
      <w:r>
        <w:rPr>
          <w:b w:val="false"/>
          <w:bCs w:val="false"/>
          <w:i w:val="false"/>
          <w:iCs w:val="false"/>
          <w:strike w:val="false"/>
        </w:rPr>
        <w:t xml:space="preserve">Без существенного снижения CAC (через органику/мессенджер‑канал/партнёрства) либо выбора высокооплачиваемых офферов, проект на платном трафике может быть убыточен.</w:t>
      </w:r>
    </w:p>
    <w:p>
      <w:r>
        <w:rPr>
          <w:b w:val="false"/>
          <w:bCs w:val="false"/>
          <w:i w:val="false"/>
          <w:iCs w:val="false"/>
          <w:strike w:val="false"/>
        </w:rPr>
        <w:t xml:space="preserve">Источник данных: официальная документация API MAX (</w:t>
      </w:r>
      <w:r>
        <w:rPr>
          <w:b w:val="false"/>
          <w:bCs w:val="false"/>
          <w:i w:val="false"/>
          <w:iCs w:val="false"/>
          <w:strike w:val="false"/>
        </w:rPr>
        <w:t xml:space="preserve">dev.max.ru</w:t>
      </w:r>
      <w:r>
        <w:rPr>
          <w:b w:val="false"/>
          <w:bCs w:val="false"/>
          <w:i w:val="false"/>
          <w:iCs w:val="false"/>
          <w:strike w:val="false"/>
        </w:rPr>
        <w:t xml:space="preserve">), результаты поиска по партнёрским программам МФО (публичные страницы CPA‑сетей) и выборка Яндекс.Wordstat по ключевым фразам (агрегированные показы).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</w:lvl>
    <w:lvl w:ilvl="1" w15:tentative="1">
      <w:start w:val="1"/>
      <w:numFmt w:val="decimal"/>
      <w:lvlText w:val="%1.%2."/>
      <w:lvlJc w:val="start"/>
    </w:lvl>
    <w:lvl w:ilvl="2" w15:tentative="1">
      <w:start w:val="1"/>
      <w:numFmt w:val="decimal"/>
      <w:lvlText w:val="%1.%2.%3."/>
      <w:lvlJc w:val="start"/>
    </w:lvl>
    <w:lvl w:ilvl="3" w15:tentative="1">
      <w:start w:val="1"/>
      <w:numFmt w:val="decimal"/>
      <w:lvlText w:val="%1.%2.%3.%4."/>
      <w:lvlJc w:val="start"/>
    </w:lvl>
    <w:lvl w:ilvl="4" w15:tentative="1">
      <w:start w:val="1"/>
      <w:numFmt w:val="decimal"/>
      <w:lvlText w:val="%1.%2.%3.%4.%5."/>
      <w:lvlJc w:val="start"/>
    </w:lvl>
    <w:lvl w:ilvl="5" w15:tentative="1">
      <w:start w:val="1"/>
      <w:numFmt w:val="decimal"/>
      <w:lvlText w:val="%1.%2.%3.%4.%5.%6."/>
      <w:lvlJc w:val="start"/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2026-08-18T21:39:07.159Z</dcterms:created>
  <dcterms:modified xsi:type="dcterms:W3CDTF">2026-08-18T21:39:07.159Z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